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2E5" w:rsidRPr="00755C1B" w:rsidRDefault="00DA02E5" w:rsidP="00DA02E5">
      <w:pPr>
        <w:bidi w:val="0"/>
        <w:jc w:val="center"/>
        <w:rPr>
          <w:rFonts w:ascii="Calibri" w:eastAsia="SimHei" w:hAnsi="Calibri"/>
          <w:color w:val="800000"/>
          <w:sz w:val="28"/>
          <w:szCs w:val="22"/>
          <w:rtl/>
          <w:lang w:eastAsia="zh-CN" w:bidi="ar-EG"/>
        </w:rPr>
      </w:pPr>
      <w:bookmarkStart w:id="0" w:name="OLE_LINK1"/>
      <w:bookmarkStart w:id="1" w:name="OLE_LINK2"/>
    </w:p>
    <w:p w:rsidR="00C07B65" w:rsidRPr="0062783D" w:rsidRDefault="0062783D" w:rsidP="00300E8D">
      <w:pPr>
        <w:bidi w:val="0"/>
        <w:jc w:val="center"/>
        <w:rPr>
          <w:rFonts w:ascii="SimHei" w:eastAsia="SimHei" w:hAnsi="SimHei"/>
          <w:b/>
          <w:bCs/>
          <w:color w:val="800000"/>
          <w:sz w:val="28"/>
          <w:szCs w:val="28"/>
          <w:lang w:eastAsia="zh-CN"/>
        </w:rPr>
      </w:pPr>
      <w:r w:rsidRPr="0062783D">
        <w:rPr>
          <w:b/>
          <w:bCs/>
          <w:color w:val="943634" w:themeColor="accent2" w:themeShade="BF"/>
          <w:sz w:val="28"/>
          <w:szCs w:val="28"/>
          <w:lang w:eastAsia="zh-CN"/>
        </w:rPr>
        <w:t>允许利用观测仪器寻见新月，而不是计</w:t>
      </w:r>
      <w:r w:rsidRPr="0062783D">
        <w:rPr>
          <w:rFonts w:ascii="PMingLiU" w:eastAsia="PMingLiU" w:hAnsi="PMingLiU" w:cs="PMingLiU" w:hint="eastAsia"/>
          <w:b/>
          <w:bCs/>
          <w:color w:val="943634" w:themeColor="accent2" w:themeShade="BF"/>
          <w:sz w:val="28"/>
          <w:szCs w:val="28"/>
          <w:lang w:eastAsia="zh-CN"/>
        </w:rPr>
        <w:t>算</w:t>
      </w:r>
    </w:p>
    <w:bookmarkEnd w:id="0"/>
    <w:bookmarkEnd w:id="1"/>
    <w:p w:rsidR="00777A72" w:rsidRPr="00FF4CDC" w:rsidRDefault="00777A72" w:rsidP="00777A72">
      <w:pPr>
        <w:bidi w:val="0"/>
        <w:jc w:val="center"/>
        <w:rPr>
          <w:rFonts w:ascii="Calibri" w:hAnsi="Calibri" w:cs="KFGQPC Uthman Taha Naskh"/>
          <w:sz w:val="22"/>
          <w:szCs w:val="22"/>
          <w:lang w:eastAsia="zh-CN" w:bidi="ar-EG"/>
        </w:rPr>
      </w:pPr>
      <w:r w:rsidRPr="00FF4CDC">
        <w:rPr>
          <w:rFonts w:cs="KFGQPC Uthman Taha Naskh" w:hint="cs"/>
          <w:sz w:val="22"/>
          <w:szCs w:val="22"/>
          <w:rtl/>
        </w:rPr>
        <w:t>]</w:t>
      </w:r>
      <w:r w:rsidRPr="00FF4CDC">
        <w:rPr>
          <w:rFonts w:cs="KFGQPC Uthman Taha Naskh" w:hint="eastAsia"/>
          <w:sz w:val="22"/>
          <w:szCs w:val="22"/>
          <w:lang w:eastAsia="zh-CN"/>
        </w:rPr>
        <w:t xml:space="preserve"> </w:t>
      </w:r>
      <w:r w:rsidRPr="00755C1B">
        <w:rPr>
          <w:rFonts w:ascii="Calibri" w:eastAsia="MS UI Gothic" w:hAnsi="Calibri" w:cs="KFGQPC Uthman Taha Naskh"/>
          <w:b/>
          <w:bCs/>
          <w:sz w:val="22"/>
          <w:szCs w:val="22"/>
          <w:lang w:eastAsia="zh-CN" w:bidi="ar-EG"/>
        </w:rPr>
        <w:t>中文</w:t>
      </w:r>
      <w:r w:rsidRPr="00FF4CDC">
        <w:rPr>
          <w:rFonts w:ascii="Calibri" w:eastAsia="MS UI Gothic" w:hAnsi="Calibri" w:cs="KFGQPC Uthman Taha Naskh"/>
          <w:sz w:val="22"/>
          <w:szCs w:val="22"/>
          <w:lang w:eastAsia="zh-CN" w:bidi="ar-EG"/>
        </w:rPr>
        <w:t xml:space="preserve"> –</w:t>
      </w:r>
      <w:r w:rsidRPr="00FF4CDC">
        <w:rPr>
          <w:rFonts w:ascii="Calibri" w:hAnsi="Calibri" w:cs="KFGQPC Uthman Taha Naskh" w:hint="eastAsia"/>
          <w:sz w:val="22"/>
          <w:szCs w:val="22"/>
          <w:lang w:eastAsia="zh-CN" w:bidi="ar-EG"/>
        </w:rPr>
        <w:t xml:space="preserve">  </w:t>
      </w:r>
      <w:r w:rsidRPr="00FF4CDC">
        <w:rPr>
          <w:rFonts w:ascii="Calibri" w:eastAsia="MS UI Gothic" w:hAnsi="Calibri" w:cs="KFGQPC Uthman Taha Naskh"/>
          <w:sz w:val="22"/>
          <w:szCs w:val="22"/>
          <w:lang w:eastAsia="zh-CN" w:bidi="ar-EG"/>
        </w:rPr>
        <w:t xml:space="preserve">Chinese - </w:t>
      </w:r>
      <w:r w:rsidRPr="00FF4CDC">
        <w:rPr>
          <w:rFonts w:ascii="Calibri" w:eastAsia="MS UI Gothic" w:hAnsi="Calibri" w:cs="KFGQPC Uthman Taha Naskh"/>
          <w:sz w:val="22"/>
          <w:szCs w:val="22"/>
          <w:rtl/>
          <w:lang w:bidi="ar-EG"/>
        </w:rPr>
        <w:t>صيني</w:t>
      </w:r>
      <w:r w:rsidRPr="00FF4CDC">
        <w:rPr>
          <w:rFonts w:ascii="Calibri" w:eastAsia="MS UI Gothic" w:hAnsi="Calibri" w:cs="KFGQPC Uthman Taha Naskh"/>
          <w:sz w:val="22"/>
          <w:szCs w:val="22"/>
          <w:lang w:eastAsia="zh-CN" w:bidi="ar-EG"/>
        </w:rPr>
        <w:t xml:space="preserve"> ]</w:t>
      </w:r>
    </w:p>
    <w:p w:rsidR="00C07B65" w:rsidRDefault="00C07B65" w:rsidP="00C07B65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22"/>
          <w:szCs w:val="22"/>
          <w:lang w:eastAsia="zh-CN"/>
        </w:rPr>
      </w:pPr>
    </w:p>
    <w:p w:rsidR="00777A72" w:rsidRDefault="00777A72" w:rsidP="00777A72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22"/>
          <w:szCs w:val="22"/>
          <w:lang w:eastAsia="zh-CN"/>
        </w:rPr>
      </w:pPr>
    </w:p>
    <w:p w:rsidR="00755C1B" w:rsidRPr="008170A0" w:rsidRDefault="00755C1B" w:rsidP="00755C1B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22"/>
          <w:szCs w:val="22"/>
          <w:rtl/>
        </w:rPr>
      </w:pPr>
    </w:p>
    <w:p w:rsidR="00777A72" w:rsidRDefault="00C07B65" w:rsidP="00777A72">
      <w:pPr>
        <w:bidi w:val="0"/>
        <w:spacing w:before="150" w:after="150" w:line="284" w:lineRule="atLeast"/>
        <w:jc w:val="center"/>
        <w:rPr>
          <w:b/>
          <w:bCs/>
          <w:sz w:val="30"/>
          <w:lang w:eastAsia="zh-CN"/>
        </w:rPr>
      </w:pPr>
      <w:r w:rsidRPr="00755C1B">
        <w:rPr>
          <w:rFonts w:hint="eastAsia"/>
          <w:b/>
          <w:bCs/>
          <w:sz w:val="30"/>
          <w:lang w:eastAsia="zh-CN"/>
        </w:rPr>
        <w:t>筛海</w:t>
      </w:r>
      <w:r w:rsidRPr="00755C1B">
        <w:rPr>
          <w:rFonts w:hint="eastAsia"/>
          <w:b/>
          <w:bCs/>
          <w:sz w:val="30"/>
          <w:lang w:eastAsia="zh-CN"/>
        </w:rPr>
        <w:t xml:space="preserve">  </w:t>
      </w:r>
      <w:r w:rsidRPr="00755C1B">
        <w:rPr>
          <w:rFonts w:hint="eastAsia"/>
          <w:b/>
          <w:bCs/>
          <w:sz w:val="30"/>
          <w:lang w:eastAsia="zh-CN"/>
        </w:rPr>
        <w:t>穆罕穆德</w:t>
      </w:r>
      <w:r w:rsidRPr="00755C1B">
        <w:rPr>
          <w:rFonts w:hint="eastAsia"/>
          <w:b/>
          <w:bCs/>
          <w:sz w:val="30"/>
          <w:lang w:eastAsia="zh-CN"/>
        </w:rPr>
        <w:t>-</w:t>
      </w:r>
      <w:r w:rsidRPr="00755C1B">
        <w:rPr>
          <w:rFonts w:hint="eastAsia"/>
          <w:b/>
          <w:bCs/>
          <w:sz w:val="30"/>
          <w:lang w:eastAsia="zh-CN"/>
        </w:rPr>
        <w:t>萨利哈</w:t>
      </w:r>
      <w:r w:rsidRPr="00755C1B">
        <w:rPr>
          <w:rFonts w:hint="eastAsia"/>
          <w:b/>
          <w:bCs/>
          <w:sz w:val="30"/>
          <w:lang w:eastAsia="zh-CN"/>
        </w:rPr>
        <w:t>-</w:t>
      </w:r>
      <w:r w:rsidRPr="00755C1B">
        <w:rPr>
          <w:rFonts w:hint="eastAsia"/>
          <w:b/>
          <w:bCs/>
          <w:sz w:val="30"/>
          <w:lang w:eastAsia="zh-CN"/>
        </w:rPr>
        <w:t>麦基德</w:t>
      </w:r>
    </w:p>
    <w:p w:rsidR="00E91149" w:rsidRPr="00E91149" w:rsidRDefault="00E91149" w:rsidP="00E91149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color w:val="auto"/>
          <w:sz w:val="32"/>
          <w:szCs w:val="32"/>
          <w:rtl/>
          <w:lang w:eastAsia="zh-CN"/>
        </w:rPr>
      </w:pPr>
    </w:p>
    <w:p w:rsidR="00F96CAF" w:rsidRDefault="00F96CAF" w:rsidP="00F96CAF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20"/>
          <w:szCs w:val="18"/>
          <w:lang w:eastAsia="zh-CN"/>
        </w:rPr>
      </w:pPr>
    </w:p>
    <w:p w:rsidR="00755C1B" w:rsidRPr="00755C1B" w:rsidRDefault="00755C1B" w:rsidP="00E91149">
      <w:pPr>
        <w:bidi w:val="0"/>
        <w:spacing w:before="150" w:after="150" w:line="284" w:lineRule="atLeast"/>
        <w:rPr>
          <w:rStyle w:val="divx11"/>
          <w:rFonts w:ascii="Calibri" w:hAnsi="Calibri" w:cs="KFGQPC Uthman Taha Naskh"/>
          <w:b/>
          <w:bCs/>
          <w:sz w:val="20"/>
          <w:szCs w:val="18"/>
          <w:rtl/>
          <w:lang w:eastAsia="zh-CN"/>
        </w:rPr>
      </w:pPr>
    </w:p>
    <w:p w:rsidR="00777A72" w:rsidRPr="00C07B65" w:rsidRDefault="00777A72" w:rsidP="002A6864">
      <w:pPr>
        <w:spacing w:line="240" w:lineRule="exact"/>
        <w:jc w:val="center"/>
        <w:rPr>
          <w:rFonts w:ascii="STXinwei" w:eastAsia="STXinwei" w:hAnsi="SimSun"/>
          <w:kern w:val="28"/>
          <w:sz w:val="18"/>
          <w:szCs w:val="18"/>
          <w:lang w:eastAsia="zh-CN"/>
        </w:rPr>
      </w:pPr>
      <w:r w:rsidRPr="00FF4CDC">
        <w:rPr>
          <w:rStyle w:val="divx11"/>
          <w:rFonts w:ascii="STXinwei" w:eastAsia="STXinwei" w:hAnsi="Calibri" w:cs="KFGQPC Uthman Taha Naskh" w:hint="eastAsia"/>
          <w:b/>
          <w:bCs/>
          <w:sz w:val="28"/>
          <w:szCs w:val="28"/>
          <w:lang w:eastAsia="zh-CN"/>
        </w:rPr>
        <w:t>翻译</w:t>
      </w:r>
      <w:r w:rsidR="002A6864">
        <w:rPr>
          <w:rStyle w:val="divx11"/>
          <w:rFonts w:hAnsi="Calibri" w:cs="KFGQPC Uthman Taha Naskh"/>
          <w:b/>
          <w:bCs/>
          <w:kern w:val="2"/>
          <w:sz w:val="18"/>
          <w:szCs w:val="18"/>
          <w:lang w:eastAsia="zh-CN"/>
        </w:rPr>
        <w:t>:</w:t>
      </w:r>
      <w:r w:rsidR="002A6864" w:rsidRPr="003B2CBA">
        <w:rPr>
          <w:rFonts w:cs="KFGQPC Uthman Taha Naskh"/>
          <w:sz w:val="28"/>
          <w:szCs w:val="28"/>
          <w:lang w:eastAsia="zh-CN"/>
        </w:rPr>
        <w:t xml:space="preserve"> www.islamqa.info</w:t>
      </w:r>
    </w:p>
    <w:p w:rsidR="00777A72" w:rsidRPr="00FF4CDC" w:rsidRDefault="00777A72" w:rsidP="00F96CAF">
      <w:pPr>
        <w:bidi w:val="0"/>
        <w:spacing w:before="150" w:after="150" w:line="284" w:lineRule="atLeast"/>
        <w:rPr>
          <w:rStyle w:val="divx11"/>
          <w:sz w:val="22"/>
          <w:szCs w:val="22"/>
          <w:rtl/>
          <w:lang w:eastAsia="zh-CN"/>
        </w:rPr>
      </w:pPr>
    </w:p>
    <w:p w:rsidR="00E91149" w:rsidRDefault="00E91149" w:rsidP="00E91149">
      <w:pPr>
        <w:bidi w:val="0"/>
        <w:jc w:val="center"/>
        <w:rPr>
          <w:rFonts w:ascii="Calibri" w:hAnsi="Calibri" w:cs="KFGQPC Uthman Taha Naskh"/>
          <w:sz w:val="20"/>
          <w:szCs w:val="20"/>
          <w:lang w:eastAsia="zh-CN"/>
        </w:rPr>
      </w:pPr>
    </w:p>
    <w:p w:rsidR="00DA02E5" w:rsidRDefault="00DA02E5" w:rsidP="00DA02E5">
      <w:pPr>
        <w:bidi w:val="0"/>
        <w:jc w:val="center"/>
        <w:rPr>
          <w:rFonts w:ascii="Calibri" w:hAnsi="Calibri" w:cs="KFGQPC Uthman Taha Naskh"/>
          <w:sz w:val="20"/>
          <w:szCs w:val="20"/>
          <w:lang w:eastAsia="zh-CN"/>
        </w:rPr>
      </w:pPr>
    </w:p>
    <w:p w:rsidR="00777A72" w:rsidRPr="00755C1B" w:rsidRDefault="00777A72" w:rsidP="00755C1B">
      <w:pPr>
        <w:jc w:val="center"/>
        <w:rPr>
          <w:rFonts w:cs="Times New Roman"/>
          <w:szCs w:val="24"/>
        </w:rPr>
      </w:pPr>
      <w:r w:rsidRPr="00755C1B">
        <w:rPr>
          <w:rFonts w:cs="Times New Roman"/>
          <w:szCs w:val="24"/>
        </w:rPr>
        <w:t>2012 - 1433</w:t>
      </w:r>
    </w:p>
    <w:p w:rsidR="00777A72" w:rsidRPr="00755C1B" w:rsidRDefault="007C6338" w:rsidP="00755C1B">
      <w:pPr>
        <w:jc w:val="center"/>
        <w:rPr>
          <w:rFonts w:cs="Times New Roman"/>
          <w:b/>
          <w:bCs/>
          <w:color w:val="800000"/>
          <w:szCs w:val="40"/>
          <w:rtl/>
          <w:lang w:bidi="ar-EG"/>
        </w:rPr>
        <w:sectPr w:rsidR="00777A72" w:rsidRPr="00755C1B" w:rsidSect="00755C1B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footnotePr>
            <w:numFmt w:val="decimalEnclosedCircleChinese"/>
            <w:numRestart w:val="eachPage"/>
          </w:footnotePr>
          <w:pgSz w:w="6803" w:h="9638"/>
          <w:pgMar w:top="567" w:right="567" w:bottom="567" w:left="850" w:header="567" w:footer="425" w:gutter="0"/>
          <w:cols w:space="708"/>
          <w:titlePg/>
          <w:docGrid w:linePitch="360"/>
        </w:sectPr>
      </w:pPr>
      <w:r>
        <w:rPr>
          <w:rFonts w:cs="Times New Roman"/>
          <w:noProof/>
          <w:lang w:eastAsia="zh-CN"/>
        </w:rPr>
        <w:drawing>
          <wp:inline distT="0" distB="0" distL="0" distR="0">
            <wp:extent cx="1803400" cy="273050"/>
            <wp:effectExtent l="0" t="0" r="6350" b="0"/>
            <wp:docPr id="1" name="صورة 1" descr="logo_islamhous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72" w:rsidRPr="00755C1B" w:rsidRDefault="00777A72" w:rsidP="00755C1B">
      <w:pPr>
        <w:jc w:val="center"/>
        <w:rPr>
          <w:sz w:val="16"/>
          <w:szCs w:val="22"/>
          <w:rtl/>
        </w:rPr>
      </w:pPr>
    </w:p>
    <w:p w:rsidR="00DA02E5" w:rsidRPr="003C285A" w:rsidRDefault="00777A72" w:rsidP="0062783D">
      <w:pPr>
        <w:tabs>
          <w:tab w:val="left" w:pos="-3150"/>
        </w:tabs>
        <w:jc w:val="center"/>
        <w:rPr>
          <w:rFonts w:cs="KFGQPC Uthman Taha Naskh"/>
          <w:color w:val="auto"/>
          <w:sz w:val="32"/>
          <w:szCs w:val="32"/>
          <w:rtl/>
        </w:rPr>
      </w:pPr>
      <w:r w:rsidRPr="003C285A">
        <w:rPr>
          <w:rFonts w:cs="KFGQPC Uthman Taha Naskh" w:hint="cs"/>
          <w:color w:val="auto"/>
          <w:sz w:val="32"/>
          <w:szCs w:val="32"/>
          <w:rtl/>
        </w:rPr>
        <w:t>﴿</w:t>
      </w:r>
      <w:r w:rsidR="00DA02E5" w:rsidRPr="003C285A">
        <w:rPr>
          <w:rFonts w:ascii="Arial" w:eastAsia="Times New Roman" w:hAnsi="Arial" w:cs="KFGQPC Uthman Taha Naskh" w:hint="cs"/>
          <w:color w:val="auto"/>
          <w:sz w:val="32"/>
          <w:szCs w:val="32"/>
          <w:rtl/>
        </w:rPr>
        <w:t xml:space="preserve"> </w:t>
      </w:r>
      <w:r w:rsidR="0062783D">
        <w:rPr>
          <w:rtl/>
        </w:rPr>
        <w:t>يجوز الاستعانة بآلات الرصد لرؤية الهلال وليس بالحسابات</w:t>
      </w:r>
      <w:r w:rsidR="0062783D">
        <w:rPr>
          <w:rFonts w:hint="cs"/>
          <w:rtl/>
        </w:rPr>
        <w:t xml:space="preserve"> </w:t>
      </w:r>
      <w:r w:rsidRPr="003C285A">
        <w:rPr>
          <w:rFonts w:cs="KFGQPC Uthman Taha Naskh" w:hint="cs"/>
          <w:color w:val="auto"/>
          <w:sz w:val="32"/>
          <w:szCs w:val="32"/>
          <w:rtl/>
        </w:rPr>
        <w:t>﴾</w:t>
      </w:r>
    </w:p>
    <w:p w:rsidR="00777A72" w:rsidRPr="00FF4CDC" w:rsidRDefault="00777A72" w:rsidP="00777A72">
      <w:pPr>
        <w:jc w:val="center"/>
        <w:rPr>
          <w:rFonts w:ascii="Courier New" w:hAnsi="Courier New" w:cs="KFGQPC Uthman Taha Naskh"/>
          <w:b/>
          <w:bCs/>
          <w:color w:val="auto"/>
          <w:szCs w:val="24"/>
        </w:rPr>
      </w:pPr>
      <w:r w:rsidRPr="00FF4CDC">
        <w:rPr>
          <w:rFonts w:cs="KFGQPC Uthman Taha Naskh" w:hint="cs"/>
          <w:color w:val="auto"/>
          <w:szCs w:val="24"/>
          <w:rtl/>
        </w:rPr>
        <w:t>«</w:t>
      </w:r>
      <w:r>
        <w:rPr>
          <w:rFonts w:cs="KFGQPC Uthman Taha Naskh" w:hint="cs"/>
          <w:color w:val="auto"/>
          <w:szCs w:val="24"/>
          <w:rtl/>
        </w:rPr>
        <w:t xml:space="preserve"> باللغة الصينية</w:t>
      </w:r>
      <w:r w:rsidRPr="00FF4CDC">
        <w:rPr>
          <w:rFonts w:cs="KFGQPC Uthman Taha Naskh" w:hint="cs"/>
          <w:color w:val="auto"/>
          <w:szCs w:val="24"/>
          <w:rtl/>
        </w:rPr>
        <w:t xml:space="preserve"> »</w:t>
      </w:r>
    </w:p>
    <w:p w:rsidR="00C07B65" w:rsidRDefault="00C07B65" w:rsidP="00755C1B">
      <w:pPr>
        <w:bidi w:val="0"/>
        <w:jc w:val="center"/>
      </w:pPr>
    </w:p>
    <w:p w:rsidR="00755C1B" w:rsidRDefault="00755C1B" w:rsidP="00755C1B">
      <w:pPr>
        <w:bidi w:val="0"/>
        <w:jc w:val="center"/>
      </w:pPr>
    </w:p>
    <w:p w:rsidR="00755C1B" w:rsidRDefault="00755C1B" w:rsidP="00755C1B">
      <w:pPr>
        <w:bidi w:val="0"/>
        <w:jc w:val="center"/>
        <w:rPr>
          <w:sz w:val="48"/>
          <w:szCs w:val="72"/>
        </w:rPr>
      </w:pPr>
    </w:p>
    <w:p w:rsidR="003C285A" w:rsidRPr="00755C1B" w:rsidRDefault="003C285A" w:rsidP="003C285A">
      <w:pPr>
        <w:bidi w:val="0"/>
        <w:jc w:val="center"/>
      </w:pPr>
    </w:p>
    <w:p w:rsidR="00E91149" w:rsidRDefault="00C07B65" w:rsidP="00E91149">
      <w:pPr>
        <w:jc w:val="center"/>
        <w:rPr>
          <w:rStyle w:val="divx11"/>
          <w:rFonts w:ascii="Calibri" w:hAnsi="Calibri" w:cs="KFGQPC Uthman Taha Naskh"/>
          <w:color w:val="auto"/>
          <w:sz w:val="28"/>
          <w:szCs w:val="28"/>
          <w:rtl/>
        </w:rPr>
      </w:pPr>
      <w:r w:rsidRPr="00DA02E5">
        <w:rPr>
          <w:rFonts w:ascii="Arial" w:eastAsia="Times New Roman" w:hAnsi="Arial" w:cs="KFGQPC Uthman Taha Naskh"/>
          <w:color w:val="auto"/>
          <w:sz w:val="28"/>
          <w:szCs w:val="28"/>
          <w:rtl/>
        </w:rPr>
        <w:t>الشيخ محمد صالح المنجد</w:t>
      </w:r>
    </w:p>
    <w:p w:rsidR="00777A72" w:rsidRDefault="00777A72" w:rsidP="00777A72">
      <w:pPr>
        <w:spacing w:before="150" w:after="150" w:line="284" w:lineRule="atLeast"/>
        <w:jc w:val="center"/>
        <w:rPr>
          <w:rStyle w:val="divx11"/>
          <w:rFonts w:ascii="Calibri" w:hAnsi="Calibri" w:cs="KFGQPC Uthman Taha Naskh" w:hint="cs"/>
          <w:color w:val="auto"/>
          <w:sz w:val="28"/>
          <w:szCs w:val="28"/>
          <w:rtl/>
        </w:rPr>
      </w:pPr>
    </w:p>
    <w:p w:rsidR="0062783D" w:rsidRDefault="0062783D" w:rsidP="00777A72">
      <w:pPr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color w:val="auto"/>
          <w:szCs w:val="24"/>
          <w:lang w:eastAsia="zh-CN"/>
        </w:rPr>
      </w:pPr>
    </w:p>
    <w:p w:rsidR="00777A72" w:rsidRPr="00DA02E5" w:rsidRDefault="00777A72" w:rsidP="002A6864">
      <w:pPr>
        <w:spacing w:line="284" w:lineRule="atLeast"/>
        <w:jc w:val="center"/>
        <w:rPr>
          <w:rFonts w:ascii="mylotus" w:hAnsi="mylotus" w:cs="KFGQPC Uthman Taha Naskh"/>
          <w:color w:val="auto"/>
          <w:szCs w:val="24"/>
          <w:lang w:bidi="ar-EG"/>
        </w:rPr>
      </w:pPr>
      <w:r w:rsidRPr="00DA02E5">
        <w:rPr>
          <w:rFonts w:ascii="mylotus" w:hAnsi="mylotus" w:cs="KFGQPC Uthman Taha Naskh" w:hint="cs"/>
          <w:color w:val="800000"/>
          <w:szCs w:val="24"/>
          <w:rtl/>
          <w:lang w:bidi="ar-EG"/>
        </w:rPr>
        <w:t>ترجمة:</w:t>
      </w:r>
      <w:r w:rsidRPr="00DA02E5">
        <w:rPr>
          <w:rFonts w:ascii="mylotus" w:hAnsi="mylotus" w:cs="KFGQPC Uthman Taha Naskh" w:hint="cs"/>
          <w:color w:val="auto"/>
          <w:szCs w:val="24"/>
          <w:rtl/>
          <w:lang w:bidi="ar-EG"/>
        </w:rPr>
        <w:t xml:space="preserve"> </w:t>
      </w:r>
      <w:r w:rsidR="003B2CBA" w:rsidRPr="003B2CBA">
        <w:rPr>
          <w:rFonts w:cs="KFGQPC Uthman Taha Naskh"/>
          <w:sz w:val="28"/>
          <w:szCs w:val="28"/>
          <w:rtl/>
        </w:rPr>
        <w:t xml:space="preserve">موقع الإسلام سؤال وجواب </w:t>
      </w:r>
      <w:r w:rsidR="002A6864" w:rsidRPr="003B2CBA">
        <w:rPr>
          <w:rFonts w:cs="KFGQPC Uthman Taha Naskh"/>
          <w:sz w:val="28"/>
          <w:szCs w:val="28"/>
        </w:rPr>
        <w:t>http://</w:t>
      </w:r>
      <w:r w:rsidR="003B2CBA" w:rsidRPr="003B2CBA">
        <w:rPr>
          <w:rFonts w:cs="KFGQPC Uthman Taha Naskh"/>
          <w:sz w:val="28"/>
          <w:szCs w:val="28"/>
        </w:rPr>
        <w:t>www.islamqa.info</w:t>
      </w:r>
    </w:p>
    <w:p w:rsidR="00777A72" w:rsidRDefault="00777A72" w:rsidP="00777A72">
      <w:pPr>
        <w:spacing w:before="150" w:after="150" w:line="284" w:lineRule="atLeast"/>
        <w:jc w:val="center"/>
        <w:rPr>
          <w:rStyle w:val="divx11"/>
          <w:color w:val="auto"/>
          <w:sz w:val="22"/>
          <w:szCs w:val="22"/>
          <w:rtl/>
          <w:lang w:bidi="ar-EG"/>
        </w:rPr>
      </w:pPr>
    </w:p>
    <w:p w:rsidR="00DA02E5" w:rsidRDefault="00DA02E5" w:rsidP="00DA02E5">
      <w:pPr>
        <w:bidi w:val="0"/>
        <w:jc w:val="center"/>
        <w:rPr>
          <w:rFonts w:ascii="Calibri" w:hAnsi="Calibri" w:cs="KFGQPC Uthman Taha Naskh"/>
          <w:sz w:val="20"/>
          <w:szCs w:val="20"/>
          <w:rtl/>
        </w:rPr>
      </w:pPr>
    </w:p>
    <w:p w:rsidR="003C285A" w:rsidRDefault="003C285A" w:rsidP="003C285A">
      <w:pPr>
        <w:bidi w:val="0"/>
        <w:jc w:val="center"/>
        <w:rPr>
          <w:rFonts w:ascii="Calibri" w:hAnsi="Calibri" w:cs="KFGQPC Uthman Taha Naskh"/>
          <w:sz w:val="20"/>
          <w:szCs w:val="20"/>
        </w:rPr>
      </w:pPr>
    </w:p>
    <w:p w:rsidR="00777A72" w:rsidRPr="00755C1B" w:rsidRDefault="00777A72" w:rsidP="00755C1B">
      <w:pPr>
        <w:jc w:val="center"/>
        <w:rPr>
          <w:rFonts w:cs="Times New Roman"/>
          <w:szCs w:val="24"/>
        </w:rPr>
      </w:pPr>
      <w:r w:rsidRPr="00755C1B">
        <w:rPr>
          <w:rFonts w:cs="Times New Roman"/>
          <w:szCs w:val="24"/>
        </w:rPr>
        <w:t>2012 - 1433</w:t>
      </w:r>
    </w:p>
    <w:p w:rsidR="00777A72" w:rsidRPr="00755C1B" w:rsidRDefault="007C6338" w:rsidP="00755C1B">
      <w:pPr>
        <w:jc w:val="center"/>
        <w:rPr>
          <w:rFonts w:cs="Times New Roman"/>
          <w:b/>
          <w:bCs/>
          <w:color w:val="auto"/>
          <w:szCs w:val="40"/>
          <w:lang w:bidi="ar-EG"/>
        </w:rPr>
      </w:pPr>
      <w:r>
        <w:rPr>
          <w:rFonts w:cs="Times New Roman"/>
          <w:noProof/>
          <w:lang w:eastAsia="zh-CN"/>
        </w:rPr>
        <w:drawing>
          <wp:inline distT="0" distB="0" distL="0" distR="0">
            <wp:extent cx="1847850" cy="279400"/>
            <wp:effectExtent l="0" t="0" r="0" b="6350"/>
            <wp:docPr id="2" name="صورة 1" descr="logo_islamhous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68" w:rsidRDefault="00564468" w:rsidP="00564468">
      <w:pPr>
        <w:bidi w:val="0"/>
        <w:spacing w:line="360" w:lineRule="auto"/>
        <w:rPr>
          <w:rFonts w:ascii="SimSun" w:hAnsi="SimSun"/>
          <w:kern w:val="28"/>
          <w:sz w:val="22"/>
          <w:szCs w:val="22"/>
          <w:lang w:eastAsia="zh-CN"/>
        </w:rPr>
      </w:pPr>
    </w:p>
    <w:p w:rsidR="0062783D" w:rsidRPr="0062783D" w:rsidRDefault="0062783D" w:rsidP="0062783D">
      <w:pPr>
        <w:bidi w:val="0"/>
        <w:spacing w:after="240"/>
        <w:rPr>
          <w:b/>
          <w:bCs/>
          <w:szCs w:val="24"/>
          <w:lang w:eastAsia="zh-CN"/>
        </w:rPr>
      </w:pPr>
      <w:r w:rsidRPr="0062783D">
        <w:rPr>
          <w:rStyle w:val="question"/>
          <w:b/>
          <w:bCs/>
          <w:color w:val="943634" w:themeColor="accent2" w:themeShade="BF"/>
          <w:szCs w:val="24"/>
          <w:lang w:eastAsia="zh-CN"/>
        </w:rPr>
        <w:t>在新月生成三十小时以前，是不可能用肉眼看到的，另外，有时由于天气的原因也不能看到，在这种情况下，是否允许利用天文学的知识计算可能见新月的时间，来确定莱麦丹斋月的开始，还是必须在斋月到来以前寻见新</w:t>
      </w:r>
      <w:bookmarkStart w:id="2" w:name="_GoBack"/>
      <w:bookmarkEnd w:id="2"/>
      <w:r w:rsidRPr="0062783D">
        <w:rPr>
          <w:rStyle w:val="question"/>
          <w:b/>
          <w:bCs/>
          <w:color w:val="943634" w:themeColor="accent2" w:themeShade="BF"/>
          <w:szCs w:val="24"/>
          <w:lang w:eastAsia="zh-CN"/>
        </w:rPr>
        <w:t>月？</w:t>
      </w:r>
    </w:p>
    <w:p w:rsidR="0062783D" w:rsidRPr="0062783D" w:rsidRDefault="0062783D" w:rsidP="0062783D">
      <w:pPr>
        <w:bidi w:val="0"/>
        <w:rPr>
          <w:szCs w:val="24"/>
        </w:rPr>
      </w:pPr>
      <w:proofErr w:type="spellStart"/>
      <w:r w:rsidRPr="0062783D">
        <w:rPr>
          <w:szCs w:val="24"/>
        </w:rPr>
        <w:t>一切赞颂全归真主</w:t>
      </w:r>
      <w:proofErr w:type="spellEnd"/>
      <w:r w:rsidRPr="0062783D">
        <w:rPr>
          <w:rFonts w:ascii="PMingLiU" w:eastAsia="PMingLiU" w:hAnsi="PMingLiU" w:cs="PMingLiU" w:hint="eastAsia"/>
          <w:szCs w:val="24"/>
        </w:rPr>
        <w:t>。</w:t>
      </w:r>
      <w:r w:rsidRPr="0062783D">
        <w:rPr>
          <w:szCs w:val="24"/>
        </w:rPr>
        <w:t xml:space="preserve"> </w:t>
      </w:r>
    </w:p>
    <w:p w:rsidR="0062783D" w:rsidRPr="0062783D" w:rsidRDefault="0062783D" w:rsidP="0062783D">
      <w:pPr>
        <w:pStyle w:val="3"/>
        <w:ind w:firstLineChars="200" w:firstLine="480"/>
      </w:pPr>
      <w:r w:rsidRPr="0062783D">
        <w:rPr>
          <w:rFonts w:ascii="PMingLiU" w:eastAsia="PMingLiU" w:hAnsi="PMingLiU" w:cs="PMingLiU" w:hint="eastAsia"/>
        </w:rPr>
        <w:t>在确定莱麦丹斋月起止时间，而进行的寻见新月的工作中，允许利用观测仪器，而不允许利用天文学的</w:t>
      </w:r>
      <w:r w:rsidRPr="0062783D">
        <w:t xml:space="preserve"> </w:t>
      </w:r>
      <w:r w:rsidRPr="0062783D">
        <w:rPr>
          <w:rFonts w:ascii="PMingLiU" w:eastAsia="PMingLiU" w:hAnsi="PMingLiU" w:cs="PMingLiU" w:hint="eastAsia"/>
        </w:rPr>
        <w:t>计算，因为在真主的经典和圣人（真主的称赞、祝福与安宁属于他）的圣训中，都没有命令我们那样做，而是命令我们以寻见莱麦丹月的新月确定斋戒的开始，以寻</w:t>
      </w:r>
      <w:r w:rsidRPr="0062783D">
        <w:t xml:space="preserve"> </w:t>
      </w:r>
      <w:r w:rsidRPr="0062783D">
        <w:rPr>
          <w:rFonts w:ascii="PMingLiU" w:eastAsia="PMingLiU" w:hAnsi="PMingLiU" w:cs="PMingLiU" w:hint="eastAsia"/>
        </w:rPr>
        <w:t>见绍瓦勒月的新月来确定开斋节以及节日礼拜的时间，真主制定新月为人事和朝觐的时计，所以，不允许穆斯林利用新月以外的事物作为宗教功修的时计，如，斋</w:t>
      </w:r>
      <w:r w:rsidRPr="0062783D">
        <w:t xml:space="preserve"> </w:t>
      </w:r>
      <w:r w:rsidRPr="0062783D">
        <w:rPr>
          <w:rFonts w:ascii="PMingLiU" w:eastAsia="PMingLiU" w:hAnsi="PMingLiU" w:cs="PMingLiU" w:hint="eastAsia"/>
        </w:rPr>
        <w:t>戒，节日，朝觐，因误杀而罚恕的斋戒，因误言视妻为母的罚恕等等，崇高的真主说：（你们中谁得到了这个月份，他应该斋戒此月。）古兰经</w:t>
      </w:r>
      <w:r w:rsidRPr="0062783D">
        <w:t xml:space="preserve"> </w:t>
      </w:r>
      <w:r w:rsidRPr="0062783D">
        <w:rPr>
          <w:rFonts w:ascii="PMingLiU" w:eastAsia="PMingLiU" w:hAnsi="PMingLiU" w:cs="PMingLiU" w:hint="eastAsia"/>
        </w:rPr>
        <w:t>黄牛章</w:t>
      </w:r>
      <w:r w:rsidRPr="0062783D">
        <w:t>185</w:t>
      </w:r>
      <w:r w:rsidRPr="0062783D">
        <w:rPr>
          <w:rFonts w:ascii="PMingLiU" w:eastAsia="PMingLiU" w:hAnsi="PMingLiU" w:cs="PMingLiU" w:hint="eastAsia"/>
        </w:rPr>
        <w:t>节。真主又说：（他们询问新月的情状，你说：</w:t>
      </w:r>
      <w:r w:rsidRPr="0062783D">
        <w:t>“</w:t>
      </w:r>
      <w:r w:rsidRPr="0062783D">
        <w:rPr>
          <w:rFonts w:ascii="PMingLiU" w:eastAsia="PMingLiU" w:hAnsi="PMingLiU" w:cs="PMingLiU" w:hint="eastAsia"/>
        </w:rPr>
        <w:t>新月是人事和朝觐的时计。</w:t>
      </w:r>
      <w:r w:rsidRPr="0062783D">
        <w:t>”</w:t>
      </w:r>
      <w:r w:rsidRPr="0062783D">
        <w:rPr>
          <w:rFonts w:ascii="PMingLiU" w:eastAsia="PMingLiU" w:hAnsi="PMingLiU" w:cs="PMingLiU" w:hint="eastAsia"/>
        </w:rPr>
        <w:t>）古兰经</w:t>
      </w:r>
      <w:r w:rsidRPr="0062783D">
        <w:t xml:space="preserve"> </w:t>
      </w:r>
      <w:r w:rsidRPr="0062783D">
        <w:rPr>
          <w:rFonts w:ascii="PMingLiU" w:eastAsia="PMingLiU" w:hAnsi="PMingLiU" w:cs="PMingLiU" w:hint="eastAsia"/>
        </w:rPr>
        <w:t>黄牛章</w:t>
      </w:r>
      <w:r w:rsidRPr="0062783D">
        <w:t>189</w:t>
      </w:r>
      <w:r w:rsidRPr="0062783D">
        <w:rPr>
          <w:rFonts w:ascii="PMingLiU" w:eastAsia="PMingLiU" w:hAnsi="PMingLiU" w:cs="PMingLiU" w:hint="eastAsia"/>
        </w:rPr>
        <w:t>节。圣人（真主的称赞、祝福与安宁属于他）说：</w:t>
      </w:r>
      <w:r w:rsidRPr="0062783D">
        <w:t>“</w:t>
      </w:r>
      <w:r w:rsidRPr="0062783D">
        <w:rPr>
          <w:rFonts w:ascii="PMingLiU" w:eastAsia="PMingLiU" w:hAnsi="PMingLiU" w:cs="PMingLiU" w:hint="eastAsia"/>
        </w:rPr>
        <w:t>你们当见月封斋，见月开斋。当遇有云蒙时，全美舍尔班月的三十天。</w:t>
      </w:r>
      <w:r w:rsidRPr="0062783D">
        <w:t>”</w:t>
      </w:r>
      <w:r w:rsidRPr="0062783D">
        <w:rPr>
          <w:rFonts w:ascii="PMingLiU" w:eastAsia="PMingLiU" w:hAnsi="PMingLiU" w:cs="PMingLiU" w:hint="eastAsia"/>
        </w:rPr>
        <w:t>所以，在晴朗或云蒙的天</w:t>
      </w:r>
      <w:r w:rsidRPr="0062783D">
        <w:t xml:space="preserve"> </w:t>
      </w:r>
      <w:r w:rsidRPr="0062783D">
        <w:rPr>
          <w:rFonts w:ascii="PMingLiU" w:eastAsia="PMingLiU" w:hAnsi="PMingLiU" w:cs="PMingLiU" w:hint="eastAsia"/>
        </w:rPr>
        <w:t>气情况下，没能寻见新月的人，当全美舍尔班月的三十天。</w:t>
      </w:r>
      <w:r w:rsidRPr="0062783D">
        <w:t xml:space="preserve"> </w:t>
      </w:r>
      <w:r w:rsidRPr="0062783D">
        <w:rPr>
          <w:rFonts w:ascii="PMingLiU" w:eastAsia="PMingLiU" w:hAnsi="PMingLiU" w:cs="PMingLiU" w:hint="eastAsia"/>
        </w:rPr>
        <w:t>学术论文与教律判决常委会之教法判例</w:t>
      </w:r>
      <w:r w:rsidRPr="0062783D">
        <w:t>10/100</w:t>
      </w:r>
      <w:r w:rsidRPr="0062783D">
        <w:rPr>
          <w:rFonts w:ascii="PMingLiU" w:eastAsia="PMingLiU" w:hAnsi="PMingLiU" w:cs="PMingLiU" w:hint="eastAsia"/>
        </w:rPr>
        <w:t>。这种情况是在其它地区也没有见月的时候，那么，当另一个的地区寻见到了新月，且一切确定的程序符合教法</w:t>
      </w:r>
      <w:r w:rsidRPr="0062783D">
        <w:t xml:space="preserve"> </w:t>
      </w:r>
      <w:r w:rsidRPr="0062783D">
        <w:rPr>
          <w:rFonts w:ascii="PMingLiU" w:eastAsia="PMingLiU" w:hAnsi="PMingLiU" w:cs="PMingLiU" w:hint="eastAsia"/>
        </w:rPr>
        <w:t>规定时，大部分学者认为，他们必须同时封斋。</w:t>
      </w:r>
    </w:p>
    <w:p w:rsidR="0062783D" w:rsidRDefault="0062783D" w:rsidP="0062783D">
      <w:pPr>
        <w:pStyle w:val="3"/>
        <w:ind w:firstLineChars="200" w:firstLine="480"/>
      </w:pPr>
      <w:r w:rsidRPr="0062783D">
        <w:rPr>
          <w:rFonts w:ascii="PMingLiU" w:eastAsia="PMingLiU" w:hAnsi="PMingLiU" w:cs="PMingLiU" w:hint="eastAsia"/>
        </w:rPr>
        <w:t>真主至知。</w:t>
      </w:r>
    </w:p>
    <w:p w:rsidR="0062783D" w:rsidRDefault="0062783D" w:rsidP="0062783D">
      <w:pPr>
        <w:bidi w:val="0"/>
        <w:rPr>
          <w:lang w:eastAsia="zh-CN"/>
        </w:rPr>
      </w:pPr>
    </w:p>
    <w:p w:rsidR="0062783D" w:rsidRDefault="0062783D" w:rsidP="0062783D">
      <w:pPr>
        <w:bidi w:val="0"/>
        <w:rPr>
          <w:lang w:eastAsia="zh-CN"/>
        </w:rPr>
      </w:pPr>
      <w:r>
        <w:rPr>
          <w:lang w:eastAsia="zh-CN"/>
        </w:rPr>
        <w:t>穆罕默德</w:t>
      </w:r>
      <w:r>
        <w:rPr>
          <w:lang w:eastAsia="zh-CN"/>
        </w:rPr>
        <w:t>.</w:t>
      </w:r>
      <w:r>
        <w:rPr>
          <w:lang w:eastAsia="zh-CN"/>
        </w:rPr>
        <w:t>萨利赫</w:t>
      </w:r>
      <w:r>
        <w:rPr>
          <w:lang w:eastAsia="zh-CN"/>
        </w:rPr>
        <w:t>.</w:t>
      </w:r>
      <w:r>
        <w:rPr>
          <w:lang w:eastAsia="zh-CN"/>
        </w:rPr>
        <w:t>穆南吉德教</w:t>
      </w:r>
      <w:r>
        <w:rPr>
          <w:rFonts w:ascii="PMingLiU" w:eastAsia="PMingLiU" w:hAnsi="PMingLiU" w:cs="PMingLiU" w:hint="eastAsia"/>
          <w:lang w:eastAsia="zh-CN"/>
        </w:rPr>
        <w:t>长</w:t>
      </w:r>
    </w:p>
    <w:p w:rsidR="00835B25" w:rsidRDefault="00835B25" w:rsidP="0062783D">
      <w:pPr>
        <w:bidi w:val="0"/>
        <w:spacing w:line="360" w:lineRule="auto"/>
        <w:rPr>
          <w:rFonts w:ascii="SimSun" w:hAnsi="SimSun"/>
          <w:kern w:val="28"/>
          <w:sz w:val="22"/>
          <w:szCs w:val="22"/>
          <w:lang w:eastAsia="zh-CN"/>
        </w:rPr>
      </w:pPr>
    </w:p>
    <w:sectPr w:rsidR="00835B25" w:rsidSect="00755C1B">
      <w:footnotePr>
        <w:numFmt w:val="decimalEnclosedCircleChinese"/>
        <w:numRestart w:val="eachPage"/>
      </w:footnotePr>
      <w:pgSz w:w="6803" w:h="9638"/>
      <w:pgMar w:top="567" w:right="567" w:bottom="567" w:left="850" w:header="567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98E" w:rsidRDefault="00F5298E" w:rsidP="00777A72">
      <w:r>
        <w:separator/>
      </w:r>
    </w:p>
  </w:endnote>
  <w:endnote w:type="continuationSeparator" w:id="0">
    <w:p w:rsidR="00F5298E" w:rsidRDefault="00F5298E" w:rsidP="00777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54C8DED1-92C8-4244-9CB2-2D613399188A}"/>
    <w:embedBold r:id="rId2" w:fontKey="{342F7AD8-029A-4EEB-8C2B-632419B7862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79AEB4AB-C799-4F0C-9B17-AD654A13001E}"/>
    <w:embedBold r:id="rId4" w:subsetted="1" w:fontKey="{E87CA5F8-EC6E-4B63-9379-193A5D8DA8E7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5" w:fontKey="{D8A74265-9285-401E-A019-A45404530569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6" w:fontKey="{BE0704C1-2E91-408E-8510-3AE7BFC48584}"/>
    <w:embedBold r:id="rId7" w:fontKey="{C92FB803-86DA-4B8D-BE22-207C13416CC1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8" w:fontKey="{4481A525-0DC3-4AF0-BAF7-FA530190444D}"/>
    <w:embedBold r:id="rId9" w:fontKey="{ACD9994C-C21D-4CAB-9E7E-F3B372ADD121}"/>
  </w:font>
  <w:font w:name="mylotus1">
    <w:charset w:val="00"/>
    <w:family w:val="auto"/>
    <w:pitch w:val="variable"/>
    <w:sig w:usb0="00002007" w:usb1="80000000" w:usb2="00000008" w:usb3="00000000" w:csb0="00000043" w:csb1="00000000"/>
    <w:embedRegular r:id="rId10" w:fontKey="{7CEC0868-BE8D-49E3-87B5-DD726B36A49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1" w:fontKey="{0FDDC305-4B6D-4B2F-A0FE-8F62F83F0D15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300000000000000"/>
    <w:charset w:val="88"/>
    <w:family w:val="roman"/>
    <w:pitch w:val="variable"/>
    <w:sig w:usb0="A00002FF" w:usb1="28CFFCFA" w:usb2="00000016" w:usb3="00000000" w:csb0="00100001" w:csb1="00000000"/>
    <w:embedRegular r:id="rId12" w:subsetted="1" w:fontKey="{8837F2B8-F16E-468A-B4A1-6A25D6157CA8}"/>
    <w:embedBold r:id="rId13" w:subsetted="1" w:fontKey="{B0C7751A-C6AC-400A-B15D-68EBEDE3A0C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73123659-9DD4-4E06-96D5-6DE08509F0E0}"/>
    <w:embedBold r:id="rId15" w:fontKey="{8F5AFCF2-1032-472E-B707-BE845C08019D}"/>
  </w:font>
  <w:font w:name="MS UI Gothic">
    <w:panose1 w:val="020B0600070205080204"/>
    <w:charset w:val="80"/>
    <w:family w:val="swiss"/>
    <w:pitch w:val="variable"/>
    <w:sig w:usb0="A00002BF" w:usb1="68C7FCFB" w:usb2="00000010" w:usb3="00000000" w:csb0="0002009F" w:csb1="00000000"/>
    <w:embedBold r:id="rId16" w:subsetted="1" w:fontKey="{DBDB95DD-AB75-4003-93F1-5BA3DF6110B5}"/>
  </w:font>
  <w:font w:name="STXinwei"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7" w:subsetted="1" w:fontKey="{219E16E7-B9BD-4700-BB3D-7E4176B0DC51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Bold r:id="rId18" w:fontKey="{A9533451-71E4-45FC-AE46-56941811B215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9" w:fontKey="{B999638F-BD55-4CED-A435-A28A60EEFE6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0" w:fontKey="{E220B5A2-AF7E-482B-8385-02D4CD2343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72" w:rsidRDefault="00777A72" w:rsidP="003A4C59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noProof/>
        <w:rtl/>
      </w:rPr>
      <w:t>9</w:t>
    </w:r>
    <w:r>
      <w:rPr>
        <w:rStyle w:val="a7"/>
        <w:rtl/>
      </w:rPr>
      <w:fldChar w:fldCharType="end"/>
    </w:r>
  </w:p>
  <w:p w:rsidR="00777A72" w:rsidRDefault="00777A7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72" w:rsidRPr="00755C1B" w:rsidRDefault="00777A72" w:rsidP="00755C1B">
    <w:pPr>
      <w:pStyle w:val="a6"/>
      <w:bidi w:val="0"/>
      <w:jc w:val="center"/>
      <w:rPr>
        <w:sz w:val="20"/>
        <w:szCs w:val="20"/>
        <w:lang w:val="en-US" w:bidi="ar-EG"/>
      </w:rPr>
    </w:pPr>
    <w:r w:rsidRPr="00FF4CDC">
      <w:rPr>
        <w:sz w:val="20"/>
        <w:szCs w:val="20"/>
      </w:rPr>
      <w:fldChar w:fldCharType="begin"/>
    </w:r>
    <w:r w:rsidRPr="00FF4CDC">
      <w:rPr>
        <w:sz w:val="20"/>
        <w:szCs w:val="20"/>
      </w:rPr>
      <w:instrText xml:space="preserve"> PAGE  \* Arabic  \* MERGEFORMAT </w:instrText>
    </w:r>
    <w:r w:rsidRPr="00FF4CDC">
      <w:rPr>
        <w:sz w:val="20"/>
        <w:szCs w:val="20"/>
      </w:rPr>
      <w:fldChar w:fldCharType="separate"/>
    </w:r>
    <w:r w:rsidR="0062783D">
      <w:rPr>
        <w:noProof/>
        <w:sz w:val="20"/>
        <w:szCs w:val="20"/>
      </w:rPr>
      <w:t>3</w:t>
    </w:r>
    <w:r w:rsidRPr="00FF4CDC"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C1B" w:rsidRDefault="00755C1B" w:rsidP="00755C1B">
    <w:pPr>
      <w:pStyle w:val="a6"/>
      <w:bidi w:val="0"/>
      <w:jc w:val="center"/>
      <w:rPr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98E" w:rsidRDefault="00F5298E" w:rsidP="00777A72">
      <w:r>
        <w:separator/>
      </w:r>
    </w:p>
  </w:footnote>
  <w:footnote w:type="continuationSeparator" w:id="0">
    <w:p w:rsidR="00F5298E" w:rsidRDefault="00F5298E" w:rsidP="00777A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C1B" w:rsidRDefault="00755C1B" w:rsidP="00755C1B">
    <w:pPr>
      <w:pStyle w:val="ab"/>
      <w:bidi w:val="0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C1B" w:rsidRDefault="00755C1B" w:rsidP="00755C1B">
    <w:pPr>
      <w:pStyle w:val="ab"/>
      <w:bidi w:val="0"/>
      <w:jc w:val="center"/>
      <w:rPr>
        <w:lang w:bidi="ar-EG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/>
  <w:defaultTabStop w:val="720"/>
  <w:drawingGridHorizontalSpacing w:val="120"/>
  <w:displayHorizontalDrawingGridEvery w:val="2"/>
  <w:characterSpacingControl w:val="doNotCompress"/>
  <w:savePreviewPicture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A72"/>
    <w:rsid w:val="00080D43"/>
    <w:rsid w:val="000973F3"/>
    <w:rsid w:val="001111DD"/>
    <w:rsid w:val="001146BA"/>
    <w:rsid w:val="001E6345"/>
    <w:rsid w:val="00295F2C"/>
    <w:rsid w:val="002A6864"/>
    <w:rsid w:val="002D7C4C"/>
    <w:rsid w:val="00300E8D"/>
    <w:rsid w:val="00306F2F"/>
    <w:rsid w:val="003569BC"/>
    <w:rsid w:val="00370C66"/>
    <w:rsid w:val="003A4C59"/>
    <w:rsid w:val="003B2CBA"/>
    <w:rsid w:val="003C285A"/>
    <w:rsid w:val="00414F84"/>
    <w:rsid w:val="004157B6"/>
    <w:rsid w:val="004320A6"/>
    <w:rsid w:val="004E1FAE"/>
    <w:rsid w:val="00554A4E"/>
    <w:rsid w:val="00564468"/>
    <w:rsid w:val="005A2A28"/>
    <w:rsid w:val="005B4C69"/>
    <w:rsid w:val="005E2FC2"/>
    <w:rsid w:val="006001D2"/>
    <w:rsid w:val="0062783D"/>
    <w:rsid w:val="00690BE0"/>
    <w:rsid w:val="006A0D3C"/>
    <w:rsid w:val="006B7F40"/>
    <w:rsid w:val="006C1238"/>
    <w:rsid w:val="006F08FF"/>
    <w:rsid w:val="007126B3"/>
    <w:rsid w:val="00744C6A"/>
    <w:rsid w:val="00755083"/>
    <w:rsid w:val="00755C1B"/>
    <w:rsid w:val="007716A7"/>
    <w:rsid w:val="00777A72"/>
    <w:rsid w:val="00790312"/>
    <w:rsid w:val="007A0DF5"/>
    <w:rsid w:val="007C6338"/>
    <w:rsid w:val="007E4433"/>
    <w:rsid w:val="00835B25"/>
    <w:rsid w:val="00892E60"/>
    <w:rsid w:val="008D27C2"/>
    <w:rsid w:val="008D7E66"/>
    <w:rsid w:val="00974C14"/>
    <w:rsid w:val="009D61FE"/>
    <w:rsid w:val="009F38AB"/>
    <w:rsid w:val="00A0031F"/>
    <w:rsid w:val="00A60DB9"/>
    <w:rsid w:val="00AE0FE4"/>
    <w:rsid w:val="00AF734C"/>
    <w:rsid w:val="00B33078"/>
    <w:rsid w:val="00C07B65"/>
    <w:rsid w:val="00C20E08"/>
    <w:rsid w:val="00C46D19"/>
    <w:rsid w:val="00CC3AE6"/>
    <w:rsid w:val="00D501F5"/>
    <w:rsid w:val="00D57B2C"/>
    <w:rsid w:val="00DA02E5"/>
    <w:rsid w:val="00E177A4"/>
    <w:rsid w:val="00E33CE6"/>
    <w:rsid w:val="00E91149"/>
    <w:rsid w:val="00EA3CC6"/>
    <w:rsid w:val="00EB4290"/>
    <w:rsid w:val="00EC64CB"/>
    <w:rsid w:val="00ED4B93"/>
    <w:rsid w:val="00F20D37"/>
    <w:rsid w:val="00F5298E"/>
    <w:rsid w:val="00F8305A"/>
    <w:rsid w:val="00F96CAF"/>
    <w:rsid w:val="00FB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A72"/>
    <w:pPr>
      <w:bidi/>
    </w:pPr>
    <w:rPr>
      <w:rFonts w:ascii="Times New Roman" w:hAnsi="Times New Roman" w:cs="Traditional Arabic"/>
      <w:color w:val="000000"/>
      <w:sz w:val="24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aliases w:val="Footnote Text"/>
    <w:basedOn w:val="a"/>
    <w:link w:val="Char"/>
    <w:uiPriority w:val="99"/>
    <w:rsid w:val="00777A72"/>
    <w:rPr>
      <w:rFonts w:cs="Times New Roman"/>
      <w:color w:val="auto"/>
      <w:sz w:val="20"/>
      <w:szCs w:val="20"/>
      <w:lang w:val="x-none" w:eastAsia="ar-SA"/>
    </w:rPr>
  </w:style>
  <w:style w:type="character" w:customStyle="1" w:styleId="Char">
    <w:name w:val="نص حاشية سفلية Char"/>
    <w:aliases w:val="Footnote Text Char"/>
    <w:link w:val="a3"/>
    <w:uiPriority w:val="99"/>
    <w:rsid w:val="00777A72"/>
    <w:rPr>
      <w:rFonts w:ascii="Times New Roman" w:eastAsia="SimSun" w:hAnsi="Times New Roman" w:cs="Times New Roman"/>
      <w:sz w:val="20"/>
      <w:szCs w:val="20"/>
      <w:lang w:val="x-none" w:eastAsia="ar-SA"/>
    </w:rPr>
  </w:style>
  <w:style w:type="character" w:styleId="a4">
    <w:name w:val="footnote reference"/>
    <w:aliases w:val="Footnote Reference"/>
    <w:rsid w:val="00777A72"/>
    <w:rPr>
      <w:rFonts w:ascii="Times New Roman" w:hAnsi="Times New Roman" w:cs="Times New Roman"/>
      <w:vertAlign w:val="superscript"/>
    </w:rPr>
  </w:style>
  <w:style w:type="paragraph" w:styleId="a5">
    <w:name w:val="Normal (Web)"/>
    <w:basedOn w:val="a"/>
    <w:rsid w:val="00777A72"/>
    <w:pPr>
      <w:bidi w:val="0"/>
      <w:spacing w:before="100" w:beforeAutospacing="1" w:after="100" w:afterAutospacing="1"/>
    </w:pPr>
    <w:rPr>
      <w:rFonts w:cs="Times New Roman"/>
      <w:color w:val="auto"/>
      <w:szCs w:val="24"/>
    </w:rPr>
  </w:style>
  <w:style w:type="paragraph" w:customStyle="1" w:styleId="a6">
    <w:name w:val="تذييل صفحة"/>
    <w:aliases w:val="Footer"/>
    <w:basedOn w:val="a"/>
    <w:link w:val="Char0"/>
    <w:rsid w:val="00777A72"/>
    <w:pPr>
      <w:tabs>
        <w:tab w:val="center" w:pos="4153"/>
        <w:tab w:val="right" w:pos="8306"/>
      </w:tabs>
    </w:pPr>
    <w:rPr>
      <w:rFonts w:cs="Times New Roman"/>
      <w:lang w:val="x-none"/>
    </w:rPr>
  </w:style>
  <w:style w:type="character" w:customStyle="1" w:styleId="Char0">
    <w:name w:val="تذييل صفحة Char"/>
    <w:aliases w:val="Footer Char"/>
    <w:link w:val="a6"/>
    <w:rsid w:val="00777A72"/>
    <w:rPr>
      <w:rFonts w:ascii="Times New Roman" w:eastAsia="SimSun" w:hAnsi="Times New Roman" w:cs="Times New Roman"/>
      <w:color w:val="000000"/>
      <w:sz w:val="24"/>
      <w:szCs w:val="36"/>
      <w:lang w:val="x-none"/>
    </w:rPr>
  </w:style>
  <w:style w:type="character" w:customStyle="1" w:styleId="a7">
    <w:name w:val="رقم صفحة"/>
    <w:basedOn w:val="a0"/>
    <w:rsid w:val="00777A72"/>
  </w:style>
  <w:style w:type="character" w:customStyle="1" w:styleId="divx11">
    <w:name w:val="divx11"/>
    <w:rsid w:val="00777A72"/>
    <w:rPr>
      <w:color w:val="800000"/>
      <w:sz w:val="26"/>
      <w:szCs w:val="26"/>
    </w:rPr>
  </w:style>
  <w:style w:type="character" w:customStyle="1" w:styleId="Char1">
    <w:name w:val="تخريج آية Char"/>
    <w:link w:val="a8"/>
    <w:locked/>
    <w:rsid w:val="00777A72"/>
    <w:rPr>
      <w:rFonts w:cs="mylotus1"/>
      <w:lang w:bidi="ar-JO"/>
    </w:rPr>
  </w:style>
  <w:style w:type="paragraph" w:customStyle="1" w:styleId="a8">
    <w:name w:val="تخريج آية"/>
    <w:basedOn w:val="a"/>
    <w:link w:val="Char1"/>
    <w:rsid w:val="00777A72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Calibri" w:hAnsi="Calibri" w:cs="mylotus1"/>
      <w:color w:val="auto"/>
      <w:sz w:val="20"/>
      <w:szCs w:val="20"/>
      <w:lang w:val="x-none" w:eastAsia="x-none" w:bidi="ar-JO"/>
    </w:rPr>
  </w:style>
  <w:style w:type="character" w:customStyle="1" w:styleId="CharChar">
    <w:name w:val="الفقرة المعلقة Char Char"/>
    <w:link w:val="a9"/>
    <w:locked/>
    <w:rsid w:val="00777A72"/>
    <w:rPr>
      <w:rFonts w:cs="mylotus1"/>
      <w:szCs w:val="29"/>
      <w:lang w:val="x-none" w:bidi="ar-JO"/>
    </w:rPr>
  </w:style>
  <w:style w:type="paragraph" w:customStyle="1" w:styleId="a9">
    <w:name w:val="الفقرة المعلقة"/>
    <w:basedOn w:val="a"/>
    <w:link w:val="CharChar"/>
    <w:rsid w:val="00777A72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Calibri" w:hAnsi="Calibri" w:cs="mylotus1"/>
      <w:color w:val="auto"/>
      <w:sz w:val="20"/>
      <w:szCs w:val="29"/>
      <w:lang w:val="x-none" w:eastAsia="x-none" w:bidi="ar-JO"/>
    </w:rPr>
  </w:style>
  <w:style w:type="paragraph" w:styleId="aa">
    <w:name w:val="Balloon Text"/>
    <w:basedOn w:val="a"/>
    <w:link w:val="Char2"/>
    <w:uiPriority w:val="99"/>
    <w:semiHidden/>
    <w:unhideWhenUsed/>
    <w:rsid w:val="00777A72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link w:val="aa"/>
    <w:uiPriority w:val="99"/>
    <w:semiHidden/>
    <w:rsid w:val="00777A72"/>
    <w:rPr>
      <w:rFonts w:ascii="Tahoma" w:eastAsia="SimSun" w:hAnsi="Tahoma" w:cs="Tahoma"/>
      <w:color w:val="000000"/>
      <w:sz w:val="16"/>
      <w:szCs w:val="16"/>
    </w:rPr>
  </w:style>
  <w:style w:type="paragraph" w:customStyle="1" w:styleId="ab">
    <w:name w:val="رأس صفحة"/>
    <w:basedOn w:val="a"/>
    <w:link w:val="Char3"/>
    <w:uiPriority w:val="99"/>
    <w:semiHidden/>
    <w:unhideWhenUsed/>
    <w:rsid w:val="00755C1B"/>
    <w:pPr>
      <w:tabs>
        <w:tab w:val="center" w:pos="4153"/>
        <w:tab w:val="right" w:pos="8306"/>
      </w:tabs>
    </w:pPr>
  </w:style>
  <w:style w:type="character" w:customStyle="1" w:styleId="Char3">
    <w:name w:val="رأس صفحة Char"/>
    <w:link w:val="ab"/>
    <w:uiPriority w:val="99"/>
    <w:semiHidden/>
    <w:rsid w:val="00755C1B"/>
    <w:rPr>
      <w:rFonts w:ascii="Times New Roman" w:hAnsi="Times New Roman" w:cs="Traditional Arabic"/>
      <w:color w:val="000000"/>
      <w:sz w:val="24"/>
      <w:szCs w:val="36"/>
    </w:rPr>
  </w:style>
  <w:style w:type="character" w:customStyle="1" w:styleId="question">
    <w:name w:val="question"/>
    <w:rsid w:val="00564468"/>
  </w:style>
  <w:style w:type="paragraph" w:styleId="3">
    <w:name w:val="Body Text Indent 3"/>
    <w:basedOn w:val="a"/>
    <w:link w:val="3Char"/>
    <w:uiPriority w:val="99"/>
    <w:semiHidden/>
    <w:unhideWhenUsed/>
    <w:rsid w:val="00564468"/>
    <w:pPr>
      <w:bidi w:val="0"/>
      <w:spacing w:before="100" w:beforeAutospacing="1" w:after="100" w:afterAutospacing="1"/>
    </w:pPr>
    <w:rPr>
      <w:rFonts w:eastAsia="Times New Roman" w:cs="Times New Roman"/>
      <w:color w:val="auto"/>
      <w:szCs w:val="24"/>
      <w:lang w:eastAsia="zh-CN"/>
    </w:rPr>
  </w:style>
  <w:style w:type="character" w:customStyle="1" w:styleId="3Char">
    <w:name w:val="نص أساسي بمسافة بادئة 3 Char"/>
    <w:link w:val="3"/>
    <w:uiPriority w:val="99"/>
    <w:semiHidden/>
    <w:rsid w:val="00564468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A72"/>
    <w:pPr>
      <w:bidi/>
    </w:pPr>
    <w:rPr>
      <w:rFonts w:ascii="Times New Roman" w:hAnsi="Times New Roman" w:cs="Traditional Arabic"/>
      <w:color w:val="000000"/>
      <w:sz w:val="24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aliases w:val="Footnote Text"/>
    <w:basedOn w:val="a"/>
    <w:link w:val="Char"/>
    <w:uiPriority w:val="99"/>
    <w:rsid w:val="00777A72"/>
    <w:rPr>
      <w:rFonts w:cs="Times New Roman"/>
      <w:color w:val="auto"/>
      <w:sz w:val="20"/>
      <w:szCs w:val="20"/>
      <w:lang w:val="x-none" w:eastAsia="ar-SA"/>
    </w:rPr>
  </w:style>
  <w:style w:type="character" w:customStyle="1" w:styleId="Char">
    <w:name w:val="نص حاشية سفلية Char"/>
    <w:aliases w:val="Footnote Text Char"/>
    <w:link w:val="a3"/>
    <w:uiPriority w:val="99"/>
    <w:rsid w:val="00777A72"/>
    <w:rPr>
      <w:rFonts w:ascii="Times New Roman" w:eastAsia="SimSun" w:hAnsi="Times New Roman" w:cs="Times New Roman"/>
      <w:sz w:val="20"/>
      <w:szCs w:val="20"/>
      <w:lang w:val="x-none" w:eastAsia="ar-SA"/>
    </w:rPr>
  </w:style>
  <w:style w:type="character" w:styleId="a4">
    <w:name w:val="footnote reference"/>
    <w:aliases w:val="Footnote Reference"/>
    <w:rsid w:val="00777A72"/>
    <w:rPr>
      <w:rFonts w:ascii="Times New Roman" w:hAnsi="Times New Roman" w:cs="Times New Roman"/>
      <w:vertAlign w:val="superscript"/>
    </w:rPr>
  </w:style>
  <w:style w:type="paragraph" w:styleId="a5">
    <w:name w:val="Normal (Web)"/>
    <w:basedOn w:val="a"/>
    <w:rsid w:val="00777A72"/>
    <w:pPr>
      <w:bidi w:val="0"/>
      <w:spacing w:before="100" w:beforeAutospacing="1" w:after="100" w:afterAutospacing="1"/>
    </w:pPr>
    <w:rPr>
      <w:rFonts w:cs="Times New Roman"/>
      <w:color w:val="auto"/>
      <w:szCs w:val="24"/>
    </w:rPr>
  </w:style>
  <w:style w:type="paragraph" w:customStyle="1" w:styleId="a6">
    <w:name w:val="تذييل صفحة"/>
    <w:aliases w:val="Footer"/>
    <w:basedOn w:val="a"/>
    <w:link w:val="Char0"/>
    <w:rsid w:val="00777A72"/>
    <w:pPr>
      <w:tabs>
        <w:tab w:val="center" w:pos="4153"/>
        <w:tab w:val="right" w:pos="8306"/>
      </w:tabs>
    </w:pPr>
    <w:rPr>
      <w:rFonts w:cs="Times New Roman"/>
      <w:lang w:val="x-none"/>
    </w:rPr>
  </w:style>
  <w:style w:type="character" w:customStyle="1" w:styleId="Char0">
    <w:name w:val="تذييل صفحة Char"/>
    <w:aliases w:val="Footer Char"/>
    <w:link w:val="a6"/>
    <w:rsid w:val="00777A72"/>
    <w:rPr>
      <w:rFonts w:ascii="Times New Roman" w:eastAsia="SimSun" w:hAnsi="Times New Roman" w:cs="Times New Roman"/>
      <w:color w:val="000000"/>
      <w:sz w:val="24"/>
      <w:szCs w:val="36"/>
      <w:lang w:val="x-none"/>
    </w:rPr>
  </w:style>
  <w:style w:type="character" w:customStyle="1" w:styleId="a7">
    <w:name w:val="رقم صفحة"/>
    <w:basedOn w:val="a0"/>
    <w:rsid w:val="00777A72"/>
  </w:style>
  <w:style w:type="character" w:customStyle="1" w:styleId="divx11">
    <w:name w:val="divx11"/>
    <w:rsid w:val="00777A72"/>
    <w:rPr>
      <w:color w:val="800000"/>
      <w:sz w:val="26"/>
      <w:szCs w:val="26"/>
    </w:rPr>
  </w:style>
  <w:style w:type="character" w:customStyle="1" w:styleId="Char1">
    <w:name w:val="تخريج آية Char"/>
    <w:link w:val="a8"/>
    <w:locked/>
    <w:rsid w:val="00777A72"/>
    <w:rPr>
      <w:rFonts w:cs="mylotus1"/>
      <w:lang w:bidi="ar-JO"/>
    </w:rPr>
  </w:style>
  <w:style w:type="paragraph" w:customStyle="1" w:styleId="a8">
    <w:name w:val="تخريج آية"/>
    <w:basedOn w:val="a"/>
    <w:link w:val="Char1"/>
    <w:rsid w:val="00777A72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Calibri" w:hAnsi="Calibri" w:cs="mylotus1"/>
      <w:color w:val="auto"/>
      <w:sz w:val="20"/>
      <w:szCs w:val="20"/>
      <w:lang w:val="x-none" w:eastAsia="x-none" w:bidi="ar-JO"/>
    </w:rPr>
  </w:style>
  <w:style w:type="character" w:customStyle="1" w:styleId="CharChar">
    <w:name w:val="الفقرة المعلقة Char Char"/>
    <w:link w:val="a9"/>
    <w:locked/>
    <w:rsid w:val="00777A72"/>
    <w:rPr>
      <w:rFonts w:cs="mylotus1"/>
      <w:szCs w:val="29"/>
      <w:lang w:val="x-none" w:bidi="ar-JO"/>
    </w:rPr>
  </w:style>
  <w:style w:type="paragraph" w:customStyle="1" w:styleId="a9">
    <w:name w:val="الفقرة المعلقة"/>
    <w:basedOn w:val="a"/>
    <w:link w:val="CharChar"/>
    <w:rsid w:val="00777A72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Calibri" w:hAnsi="Calibri" w:cs="mylotus1"/>
      <w:color w:val="auto"/>
      <w:sz w:val="20"/>
      <w:szCs w:val="29"/>
      <w:lang w:val="x-none" w:eastAsia="x-none" w:bidi="ar-JO"/>
    </w:rPr>
  </w:style>
  <w:style w:type="paragraph" w:styleId="aa">
    <w:name w:val="Balloon Text"/>
    <w:basedOn w:val="a"/>
    <w:link w:val="Char2"/>
    <w:uiPriority w:val="99"/>
    <w:semiHidden/>
    <w:unhideWhenUsed/>
    <w:rsid w:val="00777A72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link w:val="aa"/>
    <w:uiPriority w:val="99"/>
    <w:semiHidden/>
    <w:rsid w:val="00777A72"/>
    <w:rPr>
      <w:rFonts w:ascii="Tahoma" w:eastAsia="SimSun" w:hAnsi="Tahoma" w:cs="Tahoma"/>
      <w:color w:val="000000"/>
      <w:sz w:val="16"/>
      <w:szCs w:val="16"/>
    </w:rPr>
  </w:style>
  <w:style w:type="paragraph" w:customStyle="1" w:styleId="ab">
    <w:name w:val="رأس صفحة"/>
    <w:basedOn w:val="a"/>
    <w:link w:val="Char3"/>
    <w:uiPriority w:val="99"/>
    <w:semiHidden/>
    <w:unhideWhenUsed/>
    <w:rsid w:val="00755C1B"/>
    <w:pPr>
      <w:tabs>
        <w:tab w:val="center" w:pos="4153"/>
        <w:tab w:val="right" w:pos="8306"/>
      </w:tabs>
    </w:pPr>
  </w:style>
  <w:style w:type="character" w:customStyle="1" w:styleId="Char3">
    <w:name w:val="رأس صفحة Char"/>
    <w:link w:val="ab"/>
    <w:uiPriority w:val="99"/>
    <w:semiHidden/>
    <w:rsid w:val="00755C1B"/>
    <w:rPr>
      <w:rFonts w:ascii="Times New Roman" w:hAnsi="Times New Roman" w:cs="Traditional Arabic"/>
      <w:color w:val="000000"/>
      <w:sz w:val="24"/>
      <w:szCs w:val="36"/>
    </w:rPr>
  </w:style>
  <w:style w:type="character" w:customStyle="1" w:styleId="question">
    <w:name w:val="question"/>
    <w:rsid w:val="00564468"/>
  </w:style>
  <w:style w:type="paragraph" w:styleId="3">
    <w:name w:val="Body Text Indent 3"/>
    <w:basedOn w:val="a"/>
    <w:link w:val="3Char"/>
    <w:uiPriority w:val="99"/>
    <w:semiHidden/>
    <w:unhideWhenUsed/>
    <w:rsid w:val="00564468"/>
    <w:pPr>
      <w:bidi w:val="0"/>
      <w:spacing w:before="100" w:beforeAutospacing="1" w:after="100" w:afterAutospacing="1"/>
    </w:pPr>
    <w:rPr>
      <w:rFonts w:eastAsia="Times New Roman" w:cs="Times New Roman"/>
      <w:color w:val="auto"/>
      <w:szCs w:val="24"/>
      <w:lang w:eastAsia="zh-CN"/>
    </w:rPr>
  </w:style>
  <w:style w:type="character" w:customStyle="1" w:styleId="3Char">
    <w:name w:val="نص أساسي بمسافة بادئة 3 Char"/>
    <w:link w:val="3"/>
    <w:uiPriority w:val="99"/>
    <w:semiHidden/>
    <w:rsid w:val="0056446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6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islamhouse.com/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各个地区在不同时间见月的问题，以及穆斯林侨民对此应采取的处理方法</vt:lpstr>
    </vt:vector>
  </TitlesOfParts>
  <Company>islamhouse.com</Company>
  <LinksUpToDate>false</LinksUpToDate>
  <CharactersWithSpaces>917</CharactersWithSpaces>
  <SharedDoc>false</SharedDoc>
  <HyperlinkBase>www.islamhouse.com</HyperlinkBase>
  <HLinks>
    <vt:vector size="12" baseType="variant"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允许利用观测仪器寻见新月，而不是计算</dc:title>
  <dc:subject>允许利用观测仪器寻见新月，而不是计算</dc:subject>
  <dc:creator>穆罕默德·刷利哈·艾勒穆南基德</dc:creator>
  <cp:keywords>允许利用观测仪器寻见新月，而不是计算</cp:keywords>
  <dc:description>允许利用观测仪器寻见新月，而不是计算</dc:description>
  <cp:lastModifiedBy>alazhary</cp:lastModifiedBy>
  <cp:revision>4</cp:revision>
  <dcterms:created xsi:type="dcterms:W3CDTF">2012-05-14T03:27:00Z</dcterms:created>
  <dcterms:modified xsi:type="dcterms:W3CDTF">2012-05-14T03:52:00Z</dcterms:modified>
</cp:coreProperties>
</file>